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Upplands-Bro kommunfullmäktige</w:t>
      </w:r>
    </w:p>
    <w:p>
      <w:pPr>
        <w:pStyle w:val="Heading1"/>
      </w:pPr>
      <w:r>
        <w:t xml:space="preserve">Bättre underhåll av kommunala vägar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Upplands-Bro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Många lokala vägar i Upplands-Bro är i dåligt skick enligt kommunens underhållsplan 2024. Potthål och ojämnheter orsakar skador och irritation bland bilister.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Upplands-Bro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öka anslaget för vägar med 3 miljoner kronor per år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prioriteringslista baserad på trafikmängd upprättas.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beläggningsåtgärder redovisas årligen i budget.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samverkan med Trafikverket kring E18-uppslutningar undersöks.</w:t>
      </w:r>
    </w:p>
    <w:p>
      <w:pPr>
        <w:spacing w:before="360"/>
      </w:pPr>
    </w:p>
    <w:p>
      <w:r>
        <w:t xml:space="preserve">Upplands-Bro,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Upplands-Bro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2026-06-06T01:48:32.593Z</dcterms:created>
  <dcterms:modified xsi:type="dcterms:W3CDTF">2026-06-06T01:48:32.593Z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